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Norrtälje kommunfullmäktige</w:t>
      </w:r>
    </w:p>
    <w:p>
      <w:pPr>
        <w:pStyle w:val="Heading1"/>
      </w:pPr>
      <w:r>
        <w:t xml:space="preserve">Mobilförbud och studiero i kommunens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78,4 % av eleverna i årskurs 9 når godkända betyg (Kolada 2024). Störningar från mobiltelefoner är ett återkommande problem enligt lärarenkäter. Flera grannkommuner har infört mobilförbud med positiva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samtliga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rektorerna får i uppdrag att ta fram gemensamma ordningsregler för studiero.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lärarna ges stöd i form av fortbildning om mobilhantering.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resultaten följs upp årligen i utbildningsnämnden.</w:t>
      </w:r>
    </w:p>
    <w:p>
      <w:pPr>
        <w:spacing w:before="360"/>
      </w:pPr>
    </w:p>
    <w:p>
      <w:r>
        <w:t xml:space="preserve">Norrtälje,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2026-06-06T01:48:28.572Z</dcterms:created>
  <dcterms:modified xsi:type="dcterms:W3CDTF">2026-06-06T01:48:28.572Z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